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left"/>
        <w:rPr>
          <w:rFonts w:ascii="仿宋" w:hAnsi="仿宋" w:eastAsia="仿宋" w:cs="仿宋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kern w:val="0"/>
          <w:sz w:val="24"/>
          <w:shd w:val="clear" w:color="auto" w:fill="FFFFFF"/>
          <w:lang w:bidi="ar"/>
        </w:rPr>
        <w:t>附件</w:t>
      </w:r>
      <w:r>
        <w:rPr>
          <w:rFonts w:hint="eastAsia" w:ascii="仿宋" w:hAnsi="仿宋" w:eastAsia="仿宋" w:cs="仿宋"/>
          <w:color w:val="333333"/>
          <w:kern w:val="0"/>
          <w:sz w:val="24"/>
          <w:shd w:val="clear" w:color="auto" w:fill="FFFFFF"/>
          <w:lang w:val="en-US" w:eastAsia="zh-CN" w:bidi="ar"/>
        </w:rPr>
        <w:t>1</w:t>
      </w:r>
    </w:p>
    <w:p>
      <w:pPr>
        <w:widowControl/>
        <w:shd w:val="clear" w:color="auto" w:fill="FFFFFF"/>
        <w:ind w:firstLine="555"/>
        <w:jc w:val="center"/>
        <w:rPr>
          <w:rFonts w:ascii="仿宋" w:hAnsi="仿宋" w:eastAsia="仿宋" w:cs="仿宋"/>
          <w:b/>
          <w:bCs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28"/>
          <w:szCs w:val="28"/>
          <w:shd w:val="clear" w:color="auto" w:fill="FFFFFF"/>
          <w:lang w:bidi="ar"/>
        </w:rPr>
        <w:t>推选人数分配表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市级三好学生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优秀学生干部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新闻出版学院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2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印刷与包装工程学院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2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机电工程学院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2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信息工程学院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2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设计艺术学院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2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新媒体学院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2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经济管理学院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2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研究生会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0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校学生会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0</w:t>
            </w:r>
          </w:p>
        </w:tc>
        <w:tc>
          <w:tcPr>
            <w:tcW w:w="2841" w:type="dxa"/>
          </w:tcPr>
          <w:p>
            <w:pPr>
              <w:widowControl/>
              <w:jc w:val="left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</w:tr>
    </w:tbl>
    <w:p>
      <w:pPr>
        <w:widowControl/>
        <w:shd w:val="clear" w:color="auto" w:fill="FFFFFF"/>
        <w:jc w:val="left"/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96DA7"/>
    <w:rsid w:val="52396DA7"/>
    <w:rsid w:val="704E63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2017-11-17T05:55:00Z</dcterms:created>
  <dc:creator>lingchen</dc:creator>
  <cp:lastModifiedBy>lingchen</cp:lastModifiedBy>
  <dcterms:modified xsi:type="dcterms:W3CDTF">2017-11-17T06:02:32Z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